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5039D" w14:textId="77777777" w:rsidR="00795198" w:rsidRPr="00795198" w:rsidRDefault="00795198" w:rsidP="00795198">
      <w:pPr>
        <w:spacing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795198">
        <w:rPr>
          <w:rFonts w:ascii="Arial" w:eastAsia="Calibri" w:hAnsi="Arial" w:cs="Arial"/>
          <w:b/>
          <w:bCs/>
          <w:sz w:val="24"/>
          <w:szCs w:val="24"/>
        </w:rPr>
        <w:t xml:space="preserve">INSTRUCTIVO DE COMPARECENCIA Y </w:t>
      </w:r>
      <w:proofErr w:type="gramStart"/>
      <w:r w:rsidRPr="00795198">
        <w:rPr>
          <w:rFonts w:ascii="Arial" w:eastAsia="Calibri" w:hAnsi="Arial" w:cs="Arial"/>
          <w:b/>
          <w:bCs/>
          <w:sz w:val="24"/>
          <w:szCs w:val="24"/>
        </w:rPr>
        <w:t>COMPARENDO :</w:t>
      </w:r>
      <w:proofErr w:type="gramEnd"/>
      <w:r w:rsidRPr="00795198">
        <w:rPr>
          <w:rFonts w:ascii="Arial" w:eastAsia="Calibri" w:hAnsi="Arial" w:cs="Arial"/>
          <w:b/>
          <w:bCs/>
          <w:sz w:val="24"/>
          <w:szCs w:val="24"/>
        </w:rPr>
        <w:t xml:space="preserve"> En los denuncios por accidentes de tránsito, de acuerdo con la Ley de Tránsito </w:t>
      </w:r>
      <w:proofErr w:type="spellStart"/>
      <w:r w:rsidRPr="00795198">
        <w:rPr>
          <w:rFonts w:ascii="Arial" w:eastAsia="Calibri" w:hAnsi="Arial" w:cs="Arial"/>
          <w:b/>
          <w:bCs/>
          <w:sz w:val="24"/>
          <w:szCs w:val="24"/>
        </w:rPr>
        <w:t>N°</w:t>
      </w:r>
      <w:proofErr w:type="spellEnd"/>
      <w:r w:rsidRPr="00795198">
        <w:rPr>
          <w:rFonts w:ascii="Arial" w:eastAsia="Calibri" w:hAnsi="Arial" w:cs="Arial"/>
          <w:b/>
          <w:bCs/>
          <w:sz w:val="24"/>
          <w:szCs w:val="24"/>
        </w:rPr>
        <w:t xml:space="preserve"> 18.290 la que se remite a la ley 18287,</w:t>
      </w:r>
    </w:p>
    <w:p w14:paraId="1BF858B5" w14:textId="77777777" w:rsidR="00795198" w:rsidRPr="00795198" w:rsidRDefault="00795198" w:rsidP="00795198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795198">
        <w:rPr>
          <w:rFonts w:ascii="Arial" w:eastAsia="Calibri" w:hAnsi="Arial" w:cs="Arial"/>
          <w:sz w:val="24"/>
          <w:szCs w:val="24"/>
        </w:rPr>
        <w:t>1.- En la primera audiencia en la que ha sido citado el conductor por Carabineros, se le tomará declaración a fin de que ratifique, modifique o amplíe el denuncio, pudiendo designar un correo electrónico donde quedará válidamente citado o notificado si se acepta este medio y está en funcionamiento.</w:t>
      </w:r>
    </w:p>
    <w:p w14:paraId="216FD3D9" w14:textId="77777777" w:rsidR="00795198" w:rsidRPr="00795198" w:rsidRDefault="00795198" w:rsidP="00795198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795198">
        <w:rPr>
          <w:rFonts w:ascii="Arial" w:eastAsia="Calibri" w:hAnsi="Arial" w:cs="Arial"/>
          <w:sz w:val="24"/>
          <w:szCs w:val="24"/>
        </w:rPr>
        <w:t xml:space="preserve"> 2.- Una vez estampada la declaración del denunciante se interrogará al denunciado si ha comparecido. Si no ha comparecido se decretará su citación a una audiencia apercibiéndolo de arresto.</w:t>
      </w:r>
    </w:p>
    <w:p w14:paraId="5A1EF93B" w14:textId="77777777" w:rsidR="00795198" w:rsidRPr="00795198" w:rsidRDefault="00795198" w:rsidP="00795198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795198">
        <w:rPr>
          <w:rFonts w:ascii="Arial" w:eastAsia="Calibri" w:hAnsi="Arial" w:cs="Arial"/>
          <w:sz w:val="24"/>
          <w:szCs w:val="24"/>
        </w:rPr>
        <w:t xml:space="preserve"> 3.- Una vez que todas las partes hayan declarado, el Tribunal los citará a comparendo de contestación y pruebas que se celebrará con las partes que asistan</w:t>
      </w:r>
    </w:p>
    <w:p w14:paraId="714C3E9F" w14:textId="77777777" w:rsidR="00795198" w:rsidRPr="00795198" w:rsidRDefault="00795198" w:rsidP="00795198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795198">
        <w:rPr>
          <w:rFonts w:ascii="Arial" w:eastAsia="Calibri" w:hAnsi="Arial" w:cs="Arial"/>
          <w:sz w:val="24"/>
          <w:szCs w:val="24"/>
        </w:rPr>
        <w:t xml:space="preserve"> La lista de testigos deberá presentarse a más tardar, antes de las 12.00 horas del día anterior a dicha audiencia.</w:t>
      </w:r>
    </w:p>
    <w:p w14:paraId="150B5313" w14:textId="77777777" w:rsidR="00795198" w:rsidRPr="00795198" w:rsidRDefault="00795198" w:rsidP="00795198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795198">
        <w:rPr>
          <w:rFonts w:ascii="Arial" w:eastAsia="Calibri" w:hAnsi="Arial" w:cs="Arial"/>
          <w:sz w:val="24"/>
          <w:szCs w:val="24"/>
        </w:rPr>
        <w:t>3.- En caso que el afectado por el accidente decida entablar demanda civil cobrando indemnización por los daños y perjuicios sufridos deberá presentarla por escrito en el Tribunal lo más pronto posible y acompañar a ella las copias necesarias para notificar a su contraparte. Esta notificación deberá practicarse, a más tardar, 3 días hábiles antes del comparendo decretado.</w:t>
      </w:r>
    </w:p>
    <w:p w14:paraId="6E7EB65F" w14:textId="77777777" w:rsidR="00795198" w:rsidRPr="00795198" w:rsidRDefault="00795198" w:rsidP="00795198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795198">
        <w:rPr>
          <w:rFonts w:ascii="Arial" w:eastAsia="Calibri" w:hAnsi="Arial" w:cs="Arial"/>
          <w:sz w:val="24"/>
          <w:szCs w:val="24"/>
        </w:rPr>
        <w:t>4.- Si no desea seguir la acción civil ante este Juzgado, podrá el interesado hacerlo ante la Justicia Ordinaria, de acuerdo a la Ley.</w:t>
      </w:r>
    </w:p>
    <w:p w14:paraId="0E275CBE" w14:textId="77777777" w:rsidR="00795198" w:rsidRPr="00795198" w:rsidRDefault="00795198" w:rsidP="00795198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795198">
        <w:rPr>
          <w:rFonts w:ascii="Arial" w:eastAsia="Calibri" w:hAnsi="Arial" w:cs="Arial"/>
          <w:sz w:val="24"/>
          <w:szCs w:val="24"/>
        </w:rPr>
        <w:t>5.- Las partes podrán comparecer personalmente o representadas en forma legal. En los juicios en que se litiga sobre regulación de daños y perjuicios de cuantía superior a CUATRO UNIDADES TRIBUTARIAS MENSUALES (</w:t>
      </w:r>
      <w:proofErr w:type="gramStart"/>
      <w:r w:rsidRPr="00795198">
        <w:rPr>
          <w:rFonts w:ascii="Arial" w:eastAsia="Calibri" w:hAnsi="Arial" w:cs="Arial"/>
          <w:sz w:val="24"/>
          <w:szCs w:val="24"/>
        </w:rPr>
        <w:t>UTM )</w:t>
      </w:r>
      <w:proofErr w:type="gramEnd"/>
      <w:r w:rsidRPr="00795198">
        <w:rPr>
          <w:rFonts w:ascii="Arial" w:eastAsia="Calibri" w:hAnsi="Arial" w:cs="Arial"/>
          <w:sz w:val="24"/>
          <w:szCs w:val="24"/>
        </w:rPr>
        <w:t xml:space="preserve"> se deberá comparecer patrocinado por un abogado habilitado para el ejercicio profesional constituir mandato judicial.</w:t>
      </w:r>
    </w:p>
    <w:p w14:paraId="758F2C83" w14:textId="77777777" w:rsidR="00FC7A58" w:rsidRDefault="00FC7A58"/>
    <w:sectPr w:rsidR="00FC7A58" w:rsidSect="00E20E1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98"/>
    <w:rsid w:val="00304F57"/>
    <w:rsid w:val="00795198"/>
    <w:rsid w:val="00956D42"/>
    <w:rsid w:val="00DD11CA"/>
    <w:rsid w:val="00FC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26AD6"/>
  <w15:chartTrackingRefBased/>
  <w15:docId w15:val="{6552802C-2B1C-4A96-95D5-40B4121E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 Méndez</dc:creator>
  <cp:keywords/>
  <dc:description/>
  <cp:lastModifiedBy>Carola Méndez</cp:lastModifiedBy>
  <cp:revision>2</cp:revision>
  <dcterms:created xsi:type="dcterms:W3CDTF">2024-09-27T14:09:00Z</dcterms:created>
  <dcterms:modified xsi:type="dcterms:W3CDTF">2024-09-27T14:09:00Z</dcterms:modified>
</cp:coreProperties>
</file>